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CBED3">
      <w:pPr>
        <w:widowControl w:val="0"/>
        <w:kinsoku/>
        <w:autoSpaceDE/>
        <w:autoSpaceDN/>
        <w:adjustRightInd w:val="0"/>
        <w:snapToGrid w:val="0"/>
        <w:spacing w:line="240" w:lineRule="auto"/>
        <w:jc w:val="center"/>
        <w:textAlignment w:val="auto"/>
        <w:rPr>
          <w:rFonts w:hint="eastAsia" w:ascii="方正小标宋简体" w:hAnsi="方正小标宋简体" w:eastAsia="方正小标宋简体" w:cs="方正小标宋简体"/>
          <w:snapToGrid/>
          <w:kern w:val="2"/>
          <w:sz w:val="44"/>
          <w:szCs w:val="44"/>
          <w:lang w:val="en-US" w:eastAsia="zh-CN"/>
        </w:rPr>
      </w:pPr>
      <w:r>
        <w:rPr>
          <w:rFonts w:hint="eastAsia" w:ascii="方正小标宋简体" w:hAnsi="方正小标宋简体" w:eastAsia="方正小标宋简体" w:cs="方正小标宋简体"/>
          <w:snapToGrid/>
          <w:kern w:val="2"/>
          <w:sz w:val="44"/>
          <w:szCs w:val="44"/>
          <w:lang w:val="en-US" w:eastAsia="zh-CN"/>
        </w:rPr>
        <w:t>湖北第二师范学院2025年度</w:t>
      </w:r>
    </w:p>
    <w:p w14:paraId="35D39748">
      <w:pPr>
        <w:widowControl w:val="0"/>
        <w:kinsoku/>
        <w:autoSpaceDE/>
        <w:autoSpaceDN/>
        <w:adjustRightInd w:val="0"/>
        <w:snapToGrid w:val="0"/>
        <w:spacing w:line="240" w:lineRule="auto"/>
        <w:jc w:val="center"/>
        <w:textAlignment w:val="auto"/>
        <w:rPr>
          <w:rFonts w:hint="eastAsia" w:ascii="方正小标宋简体" w:hAnsi="方正小标宋简体" w:eastAsia="方正小标宋简体" w:cs="方正小标宋简体"/>
          <w:snapToGrid/>
          <w:kern w:val="2"/>
          <w:sz w:val="44"/>
          <w:szCs w:val="44"/>
          <w:lang w:eastAsia="zh-CN"/>
        </w:rPr>
      </w:pPr>
      <w:r>
        <w:rPr>
          <w:rFonts w:hint="eastAsia" w:ascii="方正小标宋简体" w:hAnsi="方正小标宋简体" w:eastAsia="方正小标宋简体" w:cs="方正小标宋简体"/>
          <w:snapToGrid/>
          <w:kern w:val="2"/>
          <w:sz w:val="44"/>
          <w:szCs w:val="44"/>
          <w:lang w:val="en-US" w:eastAsia="zh-CN"/>
        </w:rPr>
        <w:t>××专业中外合作办学项目办学报告</w:t>
      </w:r>
    </w:p>
    <w:p w14:paraId="59159794">
      <w:pPr>
        <w:keepNext w:val="0"/>
        <w:keepLines w:val="0"/>
        <w:pageBreakBefore w:val="0"/>
        <w:wordWrap/>
        <w:overflowPunct/>
        <w:topLinePunct w:val="0"/>
        <w:bidi w:val="0"/>
        <w:adjustRightInd w:val="0"/>
        <w:snapToGrid w:val="0"/>
        <w:spacing w:line="360" w:lineRule="auto"/>
        <w:ind w:leftChars="0" w:firstLine="640" w:firstLineChars="200"/>
        <w:jc w:val="both"/>
        <w:rPr>
          <w:rFonts w:hint="eastAsia" w:ascii="仿宋_GB2312" w:hAnsi="仿宋_GB2312" w:eastAsia="仿宋_GB2312" w:cs="仿宋_GB2312"/>
          <w:color w:val="FF0000"/>
          <w:kern w:val="0"/>
          <w:sz w:val="32"/>
          <w:szCs w:val="32"/>
          <w:lang w:val="en-US" w:eastAsia="zh-CN"/>
        </w:rPr>
      </w:pPr>
      <w:r>
        <w:rPr>
          <w:rFonts w:hint="eastAsia" w:ascii="仿宋_GB2312" w:hAnsi="仿宋_GB2312" w:eastAsia="仿宋_GB2312" w:cs="仿宋_GB2312"/>
          <w:color w:val="FF0000"/>
          <w:kern w:val="0"/>
          <w:sz w:val="32"/>
          <w:szCs w:val="32"/>
          <w:lang w:val="en-US" w:eastAsia="zh-CN"/>
        </w:rPr>
        <w:t>请注意：</w:t>
      </w:r>
    </w:p>
    <w:p w14:paraId="5A52E353">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val="en-US" w:eastAsia="zh-CN"/>
        </w:rPr>
        <w:t>请精简数字至不超过</w:t>
      </w:r>
      <w:r>
        <w:rPr>
          <w:rFonts w:hint="eastAsia" w:ascii="黑体" w:hAnsi="黑体" w:eastAsia="黑体" w:cs="黑体"/>
          <w:snapToGrid/>
          <w:kern w:val="2"/>
          <w:sz w:val="32"/>
          <w:szCs w:val="32"/>
          <w:lang w:eastAsia="zh-CN"/>
        </w:rPr>
        <w:t>8000字，以量化数据描述为主。</w:t>
      </w:r>
    </w:p>
    <w:p w14:paraId="3D96C9EE">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请按照学校公文格式提交报告。（公文格式见附件）</w:t>
      </w:r>
    </w:p>
    <w:p w14:paraId="4BC0A859">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全文只设一、二级标题，不设三级标题，不用阿拉伯数字列标题。</w:t>
      </w:r>
    </w:p>
    <w:p w14:paraId="176E6BF3">
      <w:pPr>
        <w:keepNext w:val="0"/>
        <w:keepLines w:val="0"/>
        <w:pageBreakBefore w:val="0"/>
        <w:widowControl w:val="0"/>
        <w:numPr>
          <w:ilvl w:val="0"/>
          <w:numId w:val="1"/>
        </w:numPr>
        <w:kinsoku/>
        <w:wordWrap/>
        <w:overflowPunct/>
        <w:topLinePunct w:val="0"/>
        <w:autoSpaceDE/>
        <w:autoSpaceDN/>
        <w:bidi w:val="0"/>
        <w:adjustRightInd w:val="0"/>
        <w:snapToGrid w:val="0"/>
        <w:spacing w:line="360" w:lineRule="auto"/>
        <w:ind w:left="0" w:leftChars="0" w:firstLine="420" w:firstLineChars="0"/>
        <w:jc w:val="both"/>
        <w:textAlignment w:val="auto"/>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按照以下一级标题和二级标题撰写，各一级标题下如需写额外条目，请排列在已有条目之后。</w:t>
      </w:r>
    </w:p>
    <w:p w14:paraId="52E3AE5A">
      <w:pPr>
        <w:keepNext w:val="0"/>
        <w:keepLines w:val="0"/>
        <w:pageBreakBefore w:val="0"/>
        <w:numPr>
          <w:ilvl w:val="0"/>
          <w:numId w:val="0"/>
        </w:numPr>
        <w:wordWrap/>
        <w:overflowPunct/>
        <w:topLinePunct w:val="0"/>
        <w:bidi w:val="0"/>
        <w:adjustRightInd w:val="0"/>
        <w:snapToGrid w:val="0"/>
        <w:spacing w:line="360" w:lineRule="auto"/>
        <w:rPr>
          <w:rFonts w:hint="default" w:eastAsia="宋体"/>
          <w:lang w:val="en-US" w:eastAsia="zh-CN"/>
        </w:rPr>
      </w:pPr>
    </w:p>
    <w:p w14:paraId="6C9CD5E2">
      <w:pPr>
        <w:keepNext w:val="0"/>
        <w:keepLines w:val="0"/>
        <w:pageBreakBefore w:val="0"/>
        <w:widowControl w:val="0"/>
        <w:kinsoku/>
        <w:wordWrap/>
        <w:overflowPunct/>
        <w:topLinePunct w:val="0"/>
        <w:autoSpaceDE/>
        <w:autoSpaceDN/>
        <w:bidi w:val="0"/>
        <w:adjustRightInd w:val="0"/>
        <w:snapToGrid w:val="0"/>
        <w:spacing w:line="360" w:lineRule="auto"/>
        <w:ind w:leftChars="0" w:firstLine="640" w:firstLineChars="200"/>
        <w:jc w:val="both"/>
        <w:textAlignment w:val="auto"/>
        <w:rPr>
          <w:rFonts w:hint="eastAsia" w:ascii="黑体" w:hAnsi="黑体" w:eastAsia="黑体" w:cs="黑体"/>
          <w:snapToGrid/>
          <w:kern w:val="2"/>
          <w:sz w:val="32"/>
          <w:szCs w:val="32"/>
          <w:lang w:eastAsia="zh-CN"/>
        </w:rPr>
      </w:pPr>
      <w:r>
        <w:rPr>
          <w:rFonts w:hint="eastAsia" w:ascii="黑体" w:hAnsi="黑体" w:eastAsia="黑体" w:cs="黑体"/>
          <w:snapToGrid/>
          <w:kern w:val="2"/>
          <w:sz w:val="32"/>
          <w:szCs w:val="32"/>
          <w:lang w:eastAsia="zh-CN"/>
        </w:rPr>
        <w:t>一、办学基本情况</w:t>
      </w:r>
    </w:p>
    <w:p w14:paraId="57C6423A">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Chars="0" w:firstLine="643" w:firstLineChars="200"/>
        <w:jc w:val="both"/>
        <w:textAlignment w:val="auto"/>
        <w:rPr>
          <w:rFonts w:hint="eastAsia" w:ascii="楷体_GB2312" w:hAnsi="楷体_GB2312" w:eastAsia="楷体_GB2312" w:cs="楷体_GB2312"/>
          <w:b/>
          <w:bCs/>
          <w:snapToGrid/>
          <w:kern w:val="2"/>
          <w:sz w:val="32"/>
          <w:szCs w:val="32"/>
          <w:lang w:eastAsia="zh-CN"/>
        </w:rPr>
      </w:pPr>
      <w:r>
        <w:rPr>
          <w:rFonts w:hint="eastAsia" w:ascii="楷体_GB2312" w:hAnsi="楷体_GB2312" w:eastAsia="楷体_GB2312" w:cs="楷体_GB2312"/>
          <w:b/>
          <w:bCs/>
          <w:snapToGrid/>
          <w:kern w:val="2"/>
          <w:sz w:val="32"/>
          <w:szCs w:val="32"/>
          <w:lang w:eastAsia="zh-CN"/>
        </w:rPr>
        <w:t>项目基本信息</w:t>
      </w:r>
    </w:p>
    <w:p w14:paraId="36769A6F">
      <w:pPr>
        <w:keepNext w:val="0"/>
        <w:keepLines w:val="0"/>
        <w:pageBreakBefore w:val="0"/>
        <w:wordWrap/>
        <w:overflowPunct/>
        <w:topLinePunct w:val="0"/>
        <w:bidi w:val="0"/>
        <w:adjustRightInd w:val="0"/>
        <w:snapToGrid w:val="0"/>
        <w:spacing w:line="360" w:lineRule="auto"/>
        <w:ind w:leftChars="0" w:firstLine="640" w:firstLineChars="200"/>
        <w:jc w:val="both"/>
        <w:rPr>
          <w:rFonts w:hint="eastAsia" w:ascii="仿宋_GB2312" w:hAnsi="仿宋_GB2312" w:eastAsia="仿宋_GB2312" w:cs="仿宋_GB2312"/>
          <w:color w:val="FF0000"/>
          <w:kern w:val="0"/>
          <w:sz w:val="32"/>
          <w:szCs w:val="32"/>
          <w:lang w:val="en-US" w:eastAsia="zh-CN"/>
        </w:rPr>
      </w:pPr>
      <w:r>
        <w:rPr>
          <w:rFonts w:hint="eastAsia" w:ascii="仿宋_GB2312" w:hAnsi="仿宋_GB2312" w:eastAsia="仿宋_GB2312" w:cs="仿宋_GB2312"/>
          <w:color w:val="FF0000"/>
          <w:kern w:val="0"/>
          <w:sz w:val="32"/>
          <w:szCs w:val="32"/>
          <w:lang w:val="en-US" w:eastAsia="zh-CN"/>
        </w:rPr>
        <w:t>第一段为项目名称，第二段为描述性介绍，不要列为条目式。</w:t>
      </w:r>
    </w:p>
    <w:p w14:paraId="5D8BFA26">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643" w:firstLineChars="200"/>
        <w:jc w:val="both"/>
        <w:textAlignment w:val="auto"/>
        <w:rPr>
          <w:rFonts w:hint="eastAsia" w:ascii="楷体_GB2312" w:hAnsi="楷体_GB2312" w:eastAsia="楷体_GB2312" w:cs="楷体_GB2312"/>
          <w:b/>
          <w:bCs/>
          <w:snapToGrid/>
          <w:kern w:val="2"/>
          <w:sz w:val="32"/>
          <w:szCs w:val="32"/>
          <w:lang w:val="en-US" w:eastAsia="zh-CN"/>
        </w:rPr>
      </w:pPr>
      <w:r>
        <w:rPr>
          <w:rFonts w:hint="eastAsia" w:ascii="楷体_GB2312" w:hAnsi="楷体_GB2312" w:eastAsia="楷体_GB2312" w:cs="楷体_GB2312"/>
          <w:b/>
          <w:bCs/>
          <w:snapToGrid/>
          <w:kern w:val="2"/>
          <w:sz w:val="32"/>
          <w:szCs w:val="32"/>
          <w:lang w:val="en-US" w:eastAsia="zh-CN"/>
        </w:rPr>
        <w:t>办学定位与目标</w:t>
      </w:r>
    </w:p>
    <w:p w14:paraId="51CCED1A">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643" w:firstLineChars="200"/>
        <w:jc w:val="both"/>
        <w:textAlignment w:val="auto"/>
        <w:rPr>
          <w:rFonts w:hint="default" w:ascii="楷体_GB2312" w:hAnsi="楷体_GB2312" w:eastAsia="楷体_GB2312" w:cs="楷体_GB2312"/>
          <w:b/>
          <w:bCs/>
          <w:snapToGrid/>
          <w:kern w:val="2"/>
          <w:sz w:val="32"/>
          <w:szCs w:val="32"/>
          <w:lang w:val="en-US" w:eastAsia="zh-CN"/>
        </w:rPr>
      </w:pPr>
      <w:r>
        <w:rPr>
          <w:rFonts w:hint="eastAsia" w:ascii="楷体_GB2312" w:hAnsi="楷体_GB2312" w:eastAsia="楷体_GB2312" w:cs="楷体_GB2312"/>
          <w:b/>
          <w:bCs/>
          <w:snapToGrid/>
          <w:kern w:val="2"/>
          <w:sz w:val="32"/>
          <w:szCs w:val="32"/>
          <w:lang w:val="en-US" w:eastAsia="zh-CN"/>
        </w:rPr>
        <w:t>中外方参与制定更新培养方案与教学计划情况</w:t>
      </w:r>
    </w:p>
    <w:p w14:paraId="0B13AA68">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643" w:firstLineChars="200"/>
        <w:jc w:val="both"/>
        <w:textAlignment w:val="auto"/>
        <w:rPr>
          <w:rFonts w:hint="default" w:ascii="楷体_GB2312" w:hAnsi="楷体_GB2312" w:eastAsia="楷体_GB2312" w:cs="楷体_GB2312"/>
          <w:b/>
          <w:bCs/>
          <w:snapToGrid/>
          <w:kern w:val="2"/>
          <w:sz w:val="32"/>
          <w:szCs w:val="32"/>
          <w:lang w:val="en-US" w:eastAsia="zh-CN"/>
        </w:rPr>
      </w:pPr>
      <w:r>
        <w:rPr>
          <w:rFonts w:hint="eastAsia" w:ascii="楷体_GB2312" w:hAnsi="楷体_GB2312" w:eastAsia="楷体_GB2312" w:cs="楷体_GB2312"/>
          <w:b/>
          <w:bCs/>
          <w:snapToGrid/>
          <w:kern w:val="2"/>
          <w:sz w:val="32"/>
          <w:szCs w:val="32"/>
          <w:lang w:val="en-US" w:eastAsia="zh-CN"/>
        </w:rPr>
        <w:t>本年度招生和毕业生情况</w:t>
      </w:r>
    </w:p>
    <w:p w14:paraId="79E20D32">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643" w:firstLineChars="200"/>
        <w:jc w:val="both"/>
        <w:textAlignment w:val="auto"/>
        <w:rPr>
          <w:rFonts w:hint="default" w:ascii="楷体_GB2312" w:hAnsi="楷体_GB2312" w:eastAsia="楷体_GB2312" w:cs="楷体_GB2312"/>
          <w:b/>
          <w:bCs/>
          <w:snapToGrid/>
          <w:kern w:val="2"/>
          <w:sz w:val="32"/>
          <w:szCs w:val="32"/>
          <w:lang w:val="en-US" w:eastAsia="zh-CN"/>
        </w:rPr>
      </w:pPr>
      <w:r>
        <w:rPr>
          <w:rFonts w:hint="eastAsia" w:ascii="楷体_GB2312" w:hAnsi="楷体_GB2312" w:eastAsia="楷体_GB2312" w:cs="楷体_GB2312"/>
          <w:b/>
          <w:bCs/>
          <w:snapToGrid/>
          <w:kern w:val="2"/>
          <w:sz w:val="32"/>
          <w:szCs w:val="32"/>
          <w:lang w:val="en-US" w:eastAsia="zh-CN"/>
        </w:rPr>
        <w:t>学生规模和师资队伍情况</w:t>
      </w:r>
    </w:p>
    <w:p w14:paraId="50C47EC4">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left="0" w:leftChars="0" w:firstLine="643" w:firstLineChars="200"/>
        <w:jc w:val="both"/>
        <w:textAlignment w:val="auto"/>
        <w:rPr>
          <w:rFonts w:hint="default" w:ascii="楷体_GB2312" w:hAnsi="楷体_GB2312" w:eastAsia="楷体_GB2312" w:cs="楷体_GB2312"/>
          <w:b/>
          <w:bCs/>
          <w:snapToGrid/>
          <w:kern w:val="2"/>
          <w:sz w:val="32"/>
          <w:szCs w:val="32"/>
          <w:lang w:val="en-US" w:eastAsia="zh-CN"/>
        </w:rPr>
      </w:pPr>
      <w:r>
        <w:rPr>
          <w:rFonts w:hint="eastAsia" w:ascii="楷体_GB2312" w:hAnsi="楷体_GB2312" w:eastAsia="楷体_GB2312" w:cs="楷体_GB2312"/>
          <w:b/>
          <w:bCs/>
          <w:snapToGrid/>
          <w:kern w:val="2"/>
          <w:sz w:val="32"/>
          <w:szCs w:val="32"/>
          <w:lang w:val="en-US" w:eastAsia="zh-CN"/>
        </w:rPr>
        <w:t>延期变更和参加评估情况</w:t>
      </w:r>
    </w:p>
    <w:p w14:paraId="44CEA95D">
      <w:pPr>
        <w:keepNext w:val="0"/>
        <w:keepLines w:val="0"/>
        <w:pageBreakBefore w:val="0"/>
        <w:wordWrap/>
        <w:overflowPunct/>
        <w:topLinePunct w:val="0"/>
        <w:bidi w:val="0"/>
        <w:adjustRightInd w:val="0"/>
        <w:snapToGrid w:val="0"/>
        <w:spacing w:line="360" w:lineRule="auto"/>
        <w:ind w:leftChars="0" w:firstLine="640" w:firstLineChars="200"/>
        <w:rPr>
          <w:rFonts w:hint="eastAsia" w:ascii="黑体" w:hAnsi="黑体" w:eastAsia="黑体"/>
          <w:sz w:val="32"/>
          <w:szCs w:val="32"/>
        </w:rPr>
      </w:pPr>
      <w:r>
        <w:rPr>
          <w:rFonts w:hint="eastAsia" w:ascii="黑体" w:hAnsi="黑体" w:eastAsia="黑体"/>
          <w:sz w:val="32"/>
          <w:szCs w:val="32"/>
        </w:rPr>
        <w:t>二、党建思政工作情况</w:t>
      </w:r>
    </w:p>
    <w:p w14:paraId="47443FC8">
      <w:pPr>
        <w:keepNext w:val="0"/>
        <w:keepLines w:val="0"/>
        <w:pageBreakBefore w:val="0"/>
        <w:wordWrap/>
        <w:overflowPunct/>
        <w:topLinePunct w:val="0"/>
        <w:bidi w:val="0"/>
        <w:adjustRightInd w:val="0"/>
        <w:snapToGrid w:val="0"/>
        <w:spacing w:line="360" w:lineRule="auto"/>
        <w:ind w:leftChars="0" w:firstLine="643" w:firstLineChars="200"/>
        <w:rPr>
          <w:rFonts w:hint="eastAsia" w:ascii="楷体_GB2312" w:eastAsia="楷体_GB2312"/>
          <w:b/>
          <w:bCs/>
          <w:sz w:val="32"/>
          <w:szCs w:val="32"/>
        </w:rPr>
      </w:pPr>
      <w:r>
        <w:rPr>
          <w:rFonts w:hint="eastAsia" w:ascii="楷体_GB2312" w:eastAsia="楷体_GB2312"/>
          <w:b/>
          <w:bCs/>
          <w:sz w:val="32"/>
          <w:szCs w:val="32"/>
        </w:rPr>
        <w:t>（一）党建工作</w:t>
      </w:r>
    </w:p>
    <w:p w14:paraId="27018563">
      <w:pPr>
        <w:keepNext w:val="0"/>
        <w:keepLines w:val="0"/>
        <w:pageBreakBefore w:val="0"/>
        <w:wordWrap/>
        <w:overflowPunct/>
        <w:topLinePunct w:val="0"/>
        <w:bidi w:val="0"/>
        <w:adjustRightInd w:val="0"/>
        <w:snapToGrid w:val="0"/>
        <w:spacing w:line="360" w:lineRule="auto"/>
        <w:ind w:leftChars="0" w:firstLine="643" w:firstLineChars="200"/>
        <w:rPr>
          <w:rFonts w:hint="eastAsia" w:ascii="楷体_GB2312" w:eastAsia="楷体_GB2312"/>
          <w:b/>
          <w:bCs/>
          <w:sz w:val="32"/>
          <w:szCs w:val="32"/>
          <w:lang w:val="en-US" w:eastAsia="zh-CN"/>
        </w:rPr>
      </w:pPr>
      <w:r>
        <w:rPr>
          <w:rFonts w:hint="eastAsia" w:ascii="楷体_GB2312" w:eastAsia="楷体_GB2312"/>
          <w:b/>
          <w:bCs/>
          <w:sz w:val="32"/>
          <w:szCs w:val="32"/>
          <w:lang w:eastAsia="zh-CN"/>
        </w:rPr>
        <w:t>（</w:t>
      </w:r>
      <w:r>
        <w:rPr>
          <w:rFonts w:hint="eastAsia" w:ascii="楷体_GB2312" w:eastAsia="楷体_GB2312"/>
          <w:b/>
          <w:bCs/>
          <w:sz w:val="32"/>
          <w:szCs w:val="32"/>
          <w:lang w:val="en-US" w:eastAsia="zh-CN"/>
        </w:rPr>
        <w:t>二</w:t>
      </w:r>
      <w:r>
        <w:rPr>
          <w:rFonts w:hint="eastAsia" w:ascii="楷体_GB2312" w:eastAsia="楷体_GB2312"/>
          <w:b/>
          <w:bCs/>
          <w:sz w:val="32"/>
          <w:szCs w:val="32"/>
          <w:lang w:eastAsia="zh-CN"/>
        </w:rPr>
        <w:t>）</w:t>
      </w:r>
      <w:r>
        <w:rPr>
          <w:rFonts w:hint="eastAsia" w:ascii="楷体_GB2312" w:eastAsia="楷体_GB2312"/>
          <w:b/>
          <w:bCs/>
          <w:sz w:val="32"/>
          <w:szCs w:val="32"/>
          <w:lang w:val="en-US" w:eastAsia="zh-CN"/>
        </w:rPr>
        <w:t>意识形态工作</w:t>
      </w:r>
    </w:p>
    <w:p w14:paraId="28347E86">
      <w:pPr>
        <w:keepNext w:val="0"/>
        <w:keepLines w:val="0"/>
        <w:pageBreakBefore w:val="0"/>
        <w:wordWrap/>
        <w:overflowPunct/>
        <w:topLinePunct w:val="0"/>
        <w:bidi w:val="0"/>
        <w:adjustRightInd w:val="0"/>
        <w:snapToGrid w:val="0"/>
        <w:spacing w:line="360" w:lineRule="auto"/>
        <w:ind w:leftChars="0" w:firstLine="643" w:firstLineChars="200"/>
        <w:rPr>
          <w:rFonts w:hint="default" w:ascii="楷体_GB2312" w:eastAsia="楷体_GB2312"/>
          <w:b/>
          <w:bCs/>
          <w:sz w:val="32"/>
          <w:szCs w:val="32"/>
          <w:lang w:val="en-US" w:eastAsia="zh-CN"/>
        </w:rPr>
      </w:pPr>
      <w:r>
        <w:rPr>
          <w:rFonts w:hint="eastAsia" w:ascii="楷体_GB2312" w:eastAsia="楷体_GB2312"/>
          <w:b/>
          <w:bCs/>
          <w:sz w:val="32"/>
          <w:szCs w:val="32"/>
          <w:lang w:val="en-US" w:eastAsia="zh-CN"/>
        </w:rPr>
        <w:t>（三）学生思政工作</w:t>
      </w:r>
    </w:p>
    <w:p w14:paraId="4F31EE79">
      <w:pPr>
        <w:keepNext w:val="0"/>
        <w:keepLines w:val="0"/>
        <w:pageBreakBefore w:val="0"/>
        <w:wordWrap/>
        <w:overflowPunct/>
        <w:topLinePunct w:val="0"/>
        <w:bidi w:val="0"/>
        <w:adjustRightInd w:val="0"/>
        <w:snapToGrid w:val="0"/>
        <w:spacing w:line="360" w:lineRule="auto"/>
        <w:ind w:leftChars="0" w:firstLine="640" w:firstLineChars="200"/>
        <w:jc w:val="both"/>
        <w:rPr>
          <w:rFonts w:hint="eastAsia" w:ascii="仿宋_GB2312" w:hAnsi="仿宋_GB2312" w:eastAsia="仿宋_GB2312" w:cs="仿宋_GB2312"/>
          <w:color w:val="FF0000"/>
          <w:kern w:val="0"/>
          <w:sz w:val="32"/>
          <w:szCs w:val="32"/>
          <w:lang w:val="en-US" w:eastAsia="zh-CN"/>
        </w:rPr>
      </w:pPr>
      <w:r>
        <w:rPr>
          <w:rFonts w:hint="eastAsia" w:ascii="仿宋_GB2312" w:hAnsi="仿宋_GB2312" w:eastAsia="仿宋_GB2312" w:cs="仿宋_GB2312"/>
          <w:color w:val="FF0000"/>
          <w:kern w:val="0"/>
          <w:sz w:val="32"/>
          <w:szCs w:val="32"/>
          <w:lang w:val="en-US" w:eastAsia="zh-CN"/>
        </w:rPr>
        <w:t>此部分包含教学计划是否开足开齐思政课，思政课中是否开设习思想课程。</w:t>
      </w:r>
    </w:p>
    <w:p w14:paraId="3FE291C3">
      <w:pPr>
        <w:keepNext w:val="0"/>
        <w:keepLines w:val="0"/>
        <w:pageBreakBefore w:val="0"/>
        <w:numPr>
          <w:ilvl w:val="0"/>
          <w:numId w:val="3"/>
        </w:numPr>
        <w:wordWrap/>
        <w:overflowPunct/>
        <w:topLinePunct w:val="0"/>
        <w:bidi w:val="0"/>
        <w:adjustRightInd w:val="0"/>
        <w:snapToGrid w:val="0"/>
        <w:spacing w:line="360" w:lineRule="auto"/>
        <w:ind w:leftChars="0" w:firstLine="643" w:firstLineChars="200"/>
        <w:rPr>
          <w:rFonts w:hint="eastAsia" w:ascii="楷体_GB2312" w:eastAsia="楷体_GB2312"/>
          <w:b/>
          <w:bCs/>
          <w:sz w:val="32"/>
          <w:szCs w:val="32"/>
          <w:lang w:val="en-US" w:eastAsia="zh-CN"/>
        </w:rPr>
      </w:pPr>
      <w:r>
        <w:rPr>
          <w:rFonts w:hint="eastAsia" w:ascii="楷体_GB2312" w:eastAsia="楷体_GB2312"/>
          <w:b/>
          <w:bCs/>
          <w:sz w:val="32"/>
          <w:szCs w:val="32"/>
          <w:lang w:val="en-US" w:eastAsia="zh-CN"/>
        </w:rPr>
        <w:t>师德师风工作</w:t>
      </w:r>
    </w:p>
    <w:p w14:paraId="466BBE48">
      <w:pPr>
        <w:keepNext w:val="0"/>
        <w:keepLines w:val="0"/>
        <w:pageBreakBefore w:val="0"/>
        <w:numPr>
          <w:ilvl w:val="0"/>
          <w:numId w:val="3"/>
        </w:numPr>
        <w:wordWrap/>
        <w:overflowPunct/>
        <w:topLinePunct w:val="0"/>
        <w:bidi w:val="0"/>
        <w:adjustRightInd w:val="0"/>
        <w:snapToGrid w:val="0"/>
        <w:spacing w:line="360" w:lineRule="auto"/>
        <w:ind w:leftChars="0" w:firstLine="643" w:firstLineChars="200"/>
        <w:rPr>
          <w:rFonts w:hint="default" w:ascii="楷体_GB2312" w:eastAsia="楷体_GB2312"/>
          <w:b/>
          <w:bCs/>
          <w:sz w:val="32"/>
          <w:szCs w:val="32"/>
          <w:lang w:val="en-US" w:eastAsia="zh-CN"/>
        </w:rPr>
      </w:pPr>
      <w:r>
        <w:rPr>
          <w:rFonts w:hint="eastAsia" w:ascii="楷体_GB2312" w:eastAsia="楷体_GB2312"/>
          <w:b/>
          <w:bCs/>
          <w:sz w:val="32"/>
          <w:szCs w:val="32"/>
          <w:lang w:val="en-US" w:eastAsia="zh-CN"/>
        </w:rPr>
        <w:t>项目党建发展基本数据</w:t>
      </w:r>
    </w:p>
    <w:p w14:paraId="37229E6F">
      <w:pPr>
        <w:keepNext w:val="0"/>
        <w:keepLines w:val="0"/>
        <w:pageBreakBefore w:val="0"/>
        <w:wordWrap/>
        <w:overflowPunct/>
        <w:topLinePunct w:val="0"/>
        <w:bidi w:val="0"/>
        <w:adjustRightInd w:val="0"/>
        <w:snapToGrid w:val="0"/>
        <w:spacing w:line="360" w:lineRule="auto"/>
        <w:ind w:leftChars="0" w:firstLine="640" w:firstLineChars="200"/>
        <w:jc w:val="both"/>
        <w:rPr>
          <w:rFonts w:hint="default" w:ascii="仿宋_GB2312" w:hAnsi="仿宋_GB2312" w:eastAsia="仿宋_GB2312" w:cs="仿宋_GB2312"/>
          <w:color w:val="FF0000"/>
          <w:kern w:val="0"/>
          <w:sz w:val="32"/>
          <w:szCs w:val="32"/>
          <w:lang w:val="en-US" w:eastAsia="zh-CN"/>
        </w:rPr>
      </w:pPr>
      <w:r>
        <w:rPr>
          <w:rFonts w:hint="eastAsia" w:ascii="仿宋_GB2312" w:hAnsi="仿宋_GB2312" w:eastAsia="仿宋_GB2312" w:cs="仿宋_GB2312"/>
          <w:color w:val="FF0000"/>
          <w:kern w:val="0"/>
          <w:sz w:val="32"/>
          <w:szCs w:val="32"/>
          <w:lang w:val="en-US" w:eastAsia="zh-CN"/>
        </w:rPr>
        <w:t>此部分包含项目党支部数/党员数/本年度发展党员数/积极分子数。</w:t>
      </w:r>
    </w:p>
    <w:p w14:paraId="133C6E8B">
      <w:pPr>
        <w:keepNext w:val="0"/>
        <w:keepLines w:val="0"/>
        <w:pageBreakBefore w:val="0"/>
        <w:numPr>
          <w:ilvl w:val="0"/>
          <w:numId w:val="3"/>
        </w:numPr>
        <w:wordWrap/>
        <w:overflowPunct/>
        <w:topLinePunct w:val="0"/>
        <w:bidi w:val="0"/>
        <w:adjustRightInd w:val="0"/>
        <w:snapToGrid w:val="0"/>
        <w:spacing w:line="360" w:lineRule="auto"/>
        <w:ind w:leftChars="0" w:firstLine="643" w:firstLineChars="200"/>
        <w:rPr>
          <w:rFonts w:hint="default" w:ascii="楷体_GB2312" w:eastAsia="楷体_GB2312"/>
          <w:b/>
          <w:bCs/>
          <w:sz w:val="32"/>
          <w:szCs w:val="32"/>
          <w:lang w:val="en-US" w:eastAsia="zh-CN"/>
        </w:rPr>
      </w:pPr>
      <w:r>
        <w:rPr>
          <w:rFonts w:hint="eastAsia" w:ascii="楷体_GB2312" w:eastAsia="楷体_GB2312"/>
          <w:b/>
          <w:bCs/>
          <w:sz w:val="32"/>
          <w:szCs w:val="32"/>
          <w:lang w:val="en-US" w:eastAsia="zh-CN"/>
        </w:rPr>
        <w:t>薄弱环节及下步措施</w:t>
      </w:r>
    </w:p>
    <w:p w14:paraId="07E43244">
      <w:pPr>
        <w:keepNext w:val="0"/>
        <w:keepLines w:val="0"/>
        <w:pageBreakBefore w:val="0"/>
        <w:wordWrap/>
        <w:overflowPunct/>
        <w:topLinePunct w:val="0"/>
        <w:bidi w:val="0"/>
        <w:adjustRightInd w:val="0"/>
        <w:snapToGrid w:val="0"/>
        <w:spacing w:after="0" w:line="360" w:lineRule="auto"/>
        <w:ind w:leftChars="0" w:firstLine="640" w:firstLineChars="200"/>
        <w:rPr>
          <w:rFonts w:ascii="黑体" w:hAnsi="黑体" w:eastAsia="黑体" w:cs="黑体"/>
          <w:sz w:val="32"/>
          <w:szCs w:val="32"/>
        </w:rPr>
      </w:pPr>
      <w:r>
        <w:rPr>
          <w:rFonts w:hint="eastAsia" w:ascii="黑体" w:hAnsi="黑体" w:eastAsia="黑体" w:cs="黑体"/>
          <w:sz w:val="32"/>
          <w:szCs w:val="32"/>
        </w:rPr>
        <w:t>三、教育教学工作情况</w:t>
      </w:r>
    </w:p>
    <w:p w14:paraId="58691D9D">
      <w:pPr>
        <w:keepNext w:val="0"/>
        <w:keepLines w:val="0"/>
        <w:pageBreakBefore w:val="0"/>
        <w:numPr>
          <w:ilvl w:val="0"/>
          <w:numId w:val="4"/>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课程设置</w:t>
      </w:r>
    </w:p>
    <w:p w14:paraId="4FC10B01">
      <w:pPr>
        <w:keepNext w:val="0"/>
        <w:keepLines w:val="0"/>
        <w:pageBreakBefore w:val="0"/>
        <w:wordWrap/>
        <w:overflowPunct/>
        <w:topLinePunct w:val="0"/>
        <w:bidi w:val="0"/>
        <w:adjustRightInd w:val="0"/>
        <w:snapToGrid w:val="0"/>
        <w:spacing w:line="360" w:lineRule="auto"/>
        <w:ind w:leftChars="0" w:firstLine="640" w:firstLineChars="200"/>
        <w:jc w:val="both"/>
        <w:rPr>
          <w:rFonts w:hint="default" w:ascii="仿宋_GB2312" w:hAnsi="仿宋_GB2312" w:eastAsia="仿宋_GB2312" w:cs="仿宋_GB2312"/>
          <w:color w:val="FF0000"/>
          <w:kern w:val="0"/>
          <w:sz w:val="32"/>
          <w:szCs w:val="32"/>
          <w:lang w:val="en-US" w:eastAsia="zh-CN"/>
        </w:rPr>
      </w:pPr>
      <w:r>
        <w:rPr>
          <w:rFonts w:hint="eastAsia" w:ascii="仿宋_GB2312" w:hAnsi="仿宋_GB2312" w:eastAsia="仿宋_GB2312" w:cs="仿宋_GB2312"/>
          <w:color w:val="FF0000"/>
          <w:kern w:val="0"/>
          <w:sz w:val="32"/>
          <w:szCs w:val="32"/>
          <w:lang w:val="en-US" w:eastAsia="zh-CN"/>
        </w:rPr>
        <w:t>此部分包含四个“三分之一”执行情况。</w:t>
      </w:r>
    </w:p>
    <w:p w14:paraId="60D6C0DF">
      <w:pPr>
        <w:keepNext w:val="0"/>
        <w:keepLines w:val="0"/>
        <w:pageBreakBefore w:val="0"/>
        <w:numPr>
          <w:ilvl w:val="0"/>
          <w:numId w:val="4"/>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lang w:val="en-US" w:eastAsia="zh-CN"/>
        </w:rPr>
        <w:t>师资配备</w:t>
      </w:r>
    </w:p>
    <w:p w14:paraId="78906930">
      <w:pPr>
        <w:keepNext w:val="0"/>
        <w:keepLines w:val="0"/>
        <w:pageBreakBefore w:val="0"/>
        <w:wordWrap/>
        <w:overflowPunct/>
        <w:topLinePunct w:val="0"/>
        <w:bidi w:val="0"/>
        <w:adjustRightInd w:val="0"/>
        <w:snapToGrid w:val="0"/>
        <w:spacing w:line="360" w:lineRule="auto"/>
        <w:ind w:leftChars="0" w:firstLine="640" w:firstLineChars="200"/>
        <w:jc w:val="both"/>
        <w:rPr>
          <w:rFonts w:hint="eastAsia" w:ascii="仿宋_GB2312" w:hAnsi="仿宋_GB2312" w:eastAsia="仿宋_GB2312" w:cs="仿宋_GB2312"/>
          <w:color w:val="FF0000"/>
          <w:kern w:val="0"/>
          <w:sz w:val="32"/>
          <w:szCs w:val="32"/>
          <w:lang w:val="en-US" w:eastAsia="zh-CN"/>
        </w:rPr>
      </w:pPr>
      <w:r>
        <w:rPr>
          <w:rFonts w:hint="eastAsia" w:ascii="仿宋_GB2312" w:hAnsi="仿宋_GB2312" w:eastAsia="仿宋_GB2312" w:cs="仿宋_GB2312"/>
          <w:color w:val="FF0000"/>
          <w:kern w:val="0"/>
          <w:sz w:val="32"/>
          <w:szCs w:val="32"/>
          <w:lang w:val="en-US" w:eastAsia="zh-CN"/>
        </w:rPr>
        <w:t>此部分包含中外方教师整体水平、共同招聘教师选聘标准（如有）、外方选派教师来华授课及科研指导情况。</w:t>
      </w:r>
    </w:p>
    <w:p w14:paraId="123EAF1B">
      <w:pPr>
        <w:keepNext w:val="0"/>
        <w:keepLines w:val="0"/>
        <w:pageBreakBefore w:val="0"/>
        <w:numPr>
          <w:ilvl w:val="0"/>
          <w:numId w:val="4"/>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教学质量</w:t>
      </w:r>
    </w:p>
    <w:p w14:paraId="3051CC11">
      <w:pPr>
        <w:keepNext w:val="0"/>
        <w:keepLines w:val="0"/>
        <w:pageBreakBefore w:val="0"/>
        <w:wordWrap/>
        <w:overflowPunct/>
        <w:topLinePunct w:val="0"/>
        <w:bidi w:val="0"/>
        <w:adjustRightInd w:val="0"/>
        <w:snapToGrid w:val="0"/>
        <w:spacing w:line="360" w:lineRule="auto"/>
        <w:ind w:leftChars="0" w:firstLine="640" w:firstLineChars="200"/>
        <w:jc w:val="both"/>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color w:val="FF0000"/>
          <w:kern w:val="0"/>
          <w:sz w:val="32"/>
          <w:szCs w:val="32"/>
          <w:lang w:val="en-US" w:eastAsia="zh-CN"/>
        </w:rPr>
        <w:t>此部分包含现状及质量保障监督体系。</w:t>
      </w:r>
    </w:p>
    <w:p w14:paraId="709ED29A">
      <w:pPr>
        <w:keepNext w:val="0"/>
        <w:keepLines w:val="0"/>
        <w:pageBreakBefore w:val="0"/>
        <w:wordWrap/>
        <w:overflowPunct/>
        <w:topLinePunct w:val="0"/>
        <w:bidi w:val="0"/>
        <w:adjustRightInd w:val="0"/>
        <w:snapToGrid w:val="0"/>
        <w:spacing w:after="0" w:line="360" w:lineRule="auto"/>
        <w:ind w:leftChars="0" w:firstLine="640" w:firstLineChars="200"/>
        <w:rPr>
          <w:rFonts w:hint="default" w:ascii="黑体" w:hAnsi="黑体" w:eastAsia="黑体" w:cs="黑体"/>
          <w:sz w:val="32"/>
          <w:szCs w:val="32"/>
          <w:lang w:val="en-US" w:eastAsia="zh-CN"/>
        </w:rPr>
      </w:pPr>
      <w:r>
        <w:rPr>
          <w:rFonts w:hint="eastAsia" w:ascii="黑体" w:hAnsi="黑体" w:eastAsia="黑体" w:cs="黑体"/>
          <w:sz w:val="32"/>
          <w:szCs w:val="32"/>
          <w:lang w:eastAsia="zh-CN"/>
        </w:rPr>
        <w:t>四、人才培养成效</w:t>
      </w:r>
      <w:r>
        <w:rPr>
          <w:rFonts w:hint="eastAsia" w:ascii="黑体" w:hAnsi="黑体" w:eastAsia="黑体" w:cs="黑体"/>
          <w:sz w:val="32"/>
          <w:szCs w:val="32"/>
          <w:lang w:val="en-US" w:eastAsia="zh-CN"/>
        </w:rPr>
        <w:t>情况</w:t>
      </w:r>
    </w:p>
    <w:p w14:paraId="18024CFE">
      <w:pPr>
        <w:keepNext w:val="0"/>
        <w:keepLines w:val="0"/>
        <w:pageBreakBefore w:val="0"/>
        <w:numPr>
          <w:ilvl w:val="0"/>
          <w:numId w:val="5"/>
        </w:numPr>
        <w:wordWrap/>
        <w:overflowPunct/>
        <w:topLinePunct w:val="0"/>
        <w:bidi w:val="0"/>
        <w:adjustRightInd w:val="0"/>
        <w:snapToGrid w:val="0"/>
        <w:spacing w:after="0" w:line="360" w:lineRule="auto"/>
        <w:ind w:leftChars="0" w:firstLine="643" w:firstLineChars="200"/>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eastAsia="zh-CN"/>
        </w:rPr>
        <w:t>培养目标达成情况</w:t>
      </w:r>
    </w:p>
    <w:p w14:paraId="5BF72002">
      <w:pPr>
        <w:keepNext w:val="0"/>
        <w:keepLines w:val="0"/>
        <w:pageBreakBefore w:val="0"/>
        <w:numPr>
          <w:ilvl w:val="0"/>
          <w:numId w:val="5"/>
        </w:numPr>
        <w:wordWrap/>
        <w:overflowPunct/>
        <w:topLinePunct w:val="0"/>
        <w:bidi w:val="0"/>
        <w:adjustRightInd w:val="0"/>
        <w:snapToGrid w:val="0"/>
        <w:spacing w:after="0" w:line="360" w:lineRule="auto"/>
        <w:ind w:leftChars="0" w:firstLine="643" w:firstLineChars="200"/>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val="en-US" w:eastAsia="zh-CN"/>
        </w:rPr>
        <w:t>学生发展支持体系建设</w:t>
      </w:r>
    </w:p>
    <w:p w14:paraId="103D07D8">
      <w:pPr>
        <w:keepNext w:val="0"/>
        <w:keepLines w:val="0"/>
        <w:pageBreakBefore w:val="0"/>
        <w:numPr>
          <w:ilvl w:val="0"/>
          <w:numId w:val="5"/>
        </w:numPr>
        <w:wordWrap/>
        <w:overflowPunct/>
        <w:topLinePunct w:val="0"/>
        <w:bidi w:val="0"/>
        <w:adjustRightInd w:val="0"/>
        <w:snapToGrid w:val="0"/>
        <w:spacing w:after="0" w:line="360" w:lineRule="auto"/>
        <w:ind w:leftChars="0" w:firstLine="643" w:firstLineChars="200"/>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学生国际视野与跨文化交流能力培养与实习实践</w:t>
      </w:r>
    </w:p>
    <w:p w14:paraId="38B71242">
      <w:pPr>
        <w:keepNext w:val="0"/>
        <w:keepLines w:val="0"/>
        <w:pageBreakBefore w:val="0"/>
        <w:numPr>
          <w:ilvl w:val="0"/>
          <w:numId w:val="5"/>
        </w:numPr>
        <w:wordWrap/>
        <w:overflowPunct/>
        <w:topLinePunct w:val="0"/>
        <w:bidi w:val="0"/>
        <w:adjustRightInd w:val="0"/>
        <w:snapToGrid w:val="0"/>
        <w:spacing w:after="0" w:line="360" w:lineRule="auto"/>
        <w:ind w:leftChars="0" w:firstLine="643" w:firstLineChars="200"/>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升学与就业</w:t>
      </w:r>
    </w:p>
    <w:p w14:paraId="1C015173">
      <w:pPr>
        <w:keepNext w:val="0"/>
        <w:keepLines w:val="0"/>
        <w:pageBreakBefore w:val="0"/>
        <w:numPr>
          <w:numId w:val="0"/>
        </w:numPr>
        <w:wordWrap/>
        <w:overflowPunct/>
        <w:topLinePunct w:val="0"/>
        <w:bidi w:val="0"/>
        <w:adjustRightInd w:val="0"/>
        <w:snapToGrid w:val="0"/>
        <w:spacing w:after="0" w:line="360" w:lineRule="auto"/>
        <w:ind w:left="420" w:leftChars="0" w:firstLine="320" w:firstLineChars="100"/>
        <w:rPr>
          <w:rFonts w:hint="eastAsia" w:ascii="黑体" w:hAnsi="黑体" w:eastAsia="黑体" w:cs="黑体"/>
          <w:sz w:val="32"/>
          <w:szCs w:val="32"/>
          <w:lang w:eastAsia="zh-CN"/>
        </w:rPr>
      </w:pPr>
      <w:r>
        <w:rPr>
          <w:rFonts w:hint="eastAsia" w:ascii="黑体" w:hAnsi="黑体" w:eastAsia="黑体" w:cs="黑体"/>
          <w:sz w:val="32"/>
          <w:szCs w:val="32"/>
          <w:lang w:val="en-US" w:eastAsia="zh-CN"/>
        </w:rPr>
        <w:t>五、</w:t>
      </w:r>
      <w:r>
        <w:rPr>
          <w:rFonts w:hint="eastAsia" w:ascii="黑体" w:hAnsi="黑体" w:eastAsia="黑体" w:cs="黑体"/>
          <w:sz w:val="32"/>
          <w:szCs w:val="32"/>
          <w:lang w:eastAsia="zh-CN"/>
        </w:rPr>
        <w:t>财务管理情况</w:t>
      </w:r>
    </w:p>
    <w:p w14:paraId="4904A7C8">
      <w:pPr>
        <w:keepNext w:val="0"/>
        <w:keepLines w:val="0"/>
        <w:pageBreakBefore w:val="0"/>
        <w:widowControl w:val="0"/>
        <w:kinsoku/>
        <w:wordWrap/>
        <w:overflowPunct/>
        <w:topLinePunct w:val="0"/>
        <w:bidi w:val="0"/>
        <w:adjustRightInd w:val="0"/>
        <w:snapToGrid w:val="0"/>
        <w:spacing w:line="360" w:lineRule="auto"/>
        <w:ind w:firstLine="640" w:firstLineChars="200"/>
        <w:jc w:val="both"/>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eastAsia="仿宋_GB2312"/>
          <w:color w:val="FF0000"/>
          <w:sz w:val="32"/>
          <w:szCs w:val="32"/>
          <w:lang w:val="en-US" w:eastAsia="zh-CN"/>
        </w:rPr>
        <w:t>参照审计处出具的财务审计报告（按照《财务审计报告模板》提供），</w:t>
      </w:r>
      <w:r>
        <w:rPr>
          <w:rFonts w:hint="eastAsia" w:ascii="仿宋_GB2312" w:hAnsi="仿宋_GB2312" w:eastAsia="仿宋_GB2312" w:cs="仿宋_GB2312"/>
          <w:snapToGrid w:val="0"/>
          <w:color w:val="FF0000"/>
          <w:kern w:val="0"/>
          <w:sz w:val="32"/>
          <w:szCs w:val="32"/>
          <w:lang w:val="en-US" w:eastAsia="zh-CN" w:bidi="ar-SA"/>
        </w:rPr>
        <w:t>用一段话描述，例如：</w:t>
      </w:r>
      <w:r>
        <w:rPr>
          <w:rFonts w:hint="eastAsia" w:ascii="仿宋_GB2312" w:hAnsi="仿宋_GB2312" w:eastAsia="仿宋_GB2312" w:cs="仿宋_GB2312"/>
          <w:snapToGrid w:val="0"/>
          <w:color w:val="FF0000"/>
          <w:kern w:val="0"/>
          <w:sz w:val="32"/>
          <w:szCs w:val="32"/>
          <w:lang w:val="en-US" w:eastAsia="zh-CN" w:bidi="ar-SA"/>
        </w:rPr>
        <w:br w:type="textWrapping"/>
      </w:r>
      <w:r>
        <w:rPr>
          <w:rFonts w:hint="eastAsia" w:ascii="仿宋_GB2312" w:hAnsi="仿宋_GB2312" w:eastAsia="仿宋_GB2312" w:cs="仿宋_GB2312"/>
          <w:snapToGrid w:val="0"/>
          <w:color w:val="FF0000"/>
          <w:kern w:val="0"/>
          <w:sz w:val="32"/>
          <w:szCs w:val="32"/>
          <w:lang w:val="en-US" w:eastAsia="zh-CN" w:bidi="ar-SA"/>
        </w:rPr>
        <w:t xml:space="preserve">    </w:t>
      </w:r>
      <w:r>
        <w:rPr>
          <w:rFonts w:hint="eastAsia" w:ascii="仿宋_GB2312" w:eastAsia="仿宋_GB2312"/>
          <w:sz w:val="32"/>
          <w:szCs w:val="32"/>
          <w:lang w:eastAsia="zh-CN"/>
        </w:rPr>
        <w:t>本项目坚定不移坚持中外合作办学的非营利性原则，严格遵守国家有关规定，根据湖北省物价局批复的收费许可证中的标准，并按照学校的财务管理制度执行，收费标准均在湖北第二师范学院财务处官网及湖北第二师范学院信息公开网进行公示。按照审批、公示、收费的工作程序，按学年收取学费和住宿费。</w:t>
      </w:r>
      <w:r>
        <w:rPr>
          <w:rFonts w:hint="eastAsia" w:ascii="仿宋_GB2312" w:hAnsi="仿宋_GB2312" w:eastAsia="仿宋_GB2312" w:cs="仿宋_GB2312"/>
          <w:sz w:val="32"/>
          <w:szCs w:val="32"/>
          <w:lang w:val="en-US" w:eastAsia="zh-CN"/>
        </w:rPr>
        <w:t>本</w:t>
      </w:r>
      <w:r>
        <w:rPr>
          <w:rFonts w:hint="eastAsia" w:ascii="仿宋_GB2312" w:hAnsi="仿宋_GB2312" w:eastAsia="仿宋_GB2312" w:cs="仿宋_GB2312"/>
          <w:sz w:val="32"/>
          <w:szCs w:val="32"/>
          <w:lang w:eastAsia="zh-CN"/>
        </w:rPr>
        <w:t>项目</w:t>
      </w:r>
      <w:r>
        <w:rPr>
          <w:rFonts w:hint="eastAsia" w:ascii="仿宋_GB2312" w:hAnsi="仿宋_GB2312" w:eastAsia="仿宋_GB2312" w:cs="仿宋_GB2312"/>
          <w:sz w:val="32"/>
          <w:szCs w:val="32"/>
          <w:lang w:val="en-US" w:eastAsia="zh-CN"/>
        </w:rPr>
        <w:t>设立专项经费项目，财务收支核算由学校财务处</w:t>
      </w:r>
      <w:r>
        <w:rPr>
          <w:rFonts w:hint="eastAsia" w:ascii="仿宋_GB2312" w:hAnsi="仿宋_GB2312" w:eastAsia="仿宋_GB2312" w:cs="仿宋_GB2312"/>
          <w:sz w:val="32"/>
          <w:szCs w:val="32"/>
          <w:lang w:eastAsia="zh-CN"/>
        </w:rPr>
        <w:t>统一管理，</w:t>
      </w:r>
      <w:r>
        <w:rPr>
          <w:rFonts w:hint="eastAsia" w:ascii="仿宋_GB2312" w:eastAsia="仿宋_GB2312"/>
          <w:sz w:val="32"/>
          <w:szCs w:val="32"/>
          <w:lang w:eastAsia="zh-CN"/>
        </w:rPr>
        <w:t>收取的费用全部用于本项目教育教学、办学成本以及改善办学条件等的支出。202</w:t>
      </w:r>
      <w:r>
        <w:rPr>
          <w:rFonts w:hint="eastAsia" w:ascii="仿宋_GB2312" w:eastAsia="仿宋_GB2312"/>
          <w:sz w:val="32"/>
          <w:szCs w:val="32"/>
          <w:lang w:val="en-US" w:eastAsia="zh-CN"/>
        </w:rPr>
        <w:t>5</w:t>
      </w:r>
      <w:r>
        <w:rPr>
          <w:rFonts w:hint="eastAsia" w:ascii="仿宋_GB2312" w:eastAsia="仿宋_GB2312"/>
          <w:sz w:val="32"/>
          <w:szCs w:val="32"/>
          <w:lang w:eastAsia="zh-CN"/>
        </w:rPr>
        <w:t>年实际收入</w:t>
      </w:r>
      <w:r>
        <w:rPr>
          <w:rFonts w:hint="eastAsia" w:ascii="仿宋_GB2312" w:eastAsia="仿宋_GB2312"/>
          <w:sz w:val="32"/>
          <w:szCs w:val="32"/>
          <w:lang w:val="en-US" w:eastAsia="zh-CN"/>
        </w:rPr>
        <w:t>****</w:t>
      </w:r>
      <w:r>
        <w:rPr>
          <w:rFonts w:hint="eastAsia" w:ascii="仿宋_GB2312" w:eastAsia="仿宋_GB2312"/>
          <w:sz w:val="32"/>
          <w:szCs w:val="32"/>
          <w:lang w:eastAsia="zh-CN"/>
        </w:rPr>
        <w:t>元，实际支</w:t>
      </w:r>
      <w:r>
        <w:rPr>
          <w:rFonts w:hint="eastAsia" w:ascii="仿宋_GB2312" w:eastAsia="仿宋_GB2312"/>
          <w:sz w:val="32"/>
          <w:szCs w:val="32"/>
          <w:lang w:val="en-US" w:eastAsia="zh-CN"/>
        </w:rPr>
        <w:t>****</w:t>
      </w:r>
      <w:r>
        <w:rPr>
          <w:rFonts w:hint="eastAsia" w:ascii="仿宋_GB2312" w:eastAsia="仿宋_GB2312"/>
          <w:sz w:val="32"/>
          <w:szCs w:val="32"/>
          <w:lang w:eastAsia="zh-CN"/>
        </w:rPr>
        <w:t>元，结余</w:t>
      </w:r>
      <w:r>
        <w:rPr>
          <w:rFonts w:hint="eastAsia" w:ascii="仿宋_GB2312" w:eastAsia="仿宋_GB2312"/>
          <w:sz w:val="32"/>
          <w:szCs w:val="32"/>
          <w:lang w:val="en-US" w:eastAsia="zh-CN"/>
        </w:rPr>
        <w:t>****</w:t>
      </w:r>
      <w:r>
        <w:rPr>
          <w:rFonts w:hint="eastAsia" w:ascii="仿宋_GB2312" w:eastAsia="仿宋_GB2312"/>
          <w:sz w:val="32"/>
          <w:szCs w:val="32"/>
          <w:lang w:eastAsia="zh-CN"/>
        </w:rPr>
        <w:t>元，各项收入和支出均合法合规。</w:t>
      </w:r>
    </w:p>
    <w:p w14:paraId="4B6B599B">
      <w:pPr>
        <w:keepNext w:val="0"/>
        <w:keepLines w:val="0"/>
        <w:pageBreakBefore w:val="0"/>
        <w:wordWrap/>
        <w:overflowPunct/>
        <w:topLinePunct w:val="0"/>
        <w:bidi w:val="0"/>
        <w:adjustRightInd w:val="0"/>
        <w:snapToGrid w:val="0"/>
        <w:spacing w:after="0" w:line="360" w:lineRule="auto"/>
        <w:ind w:leftChars="0" w:firstLine="640" w:firstLineChars="200"/>
        <w:rPr>
          <w:rFonts w:ascii="黑体" w:hAnsi="黑体" w:eastAsia="黑体" w:cs="黑体"/>
          <w:sz w:val="32"/>
          <w:szCs w:val="32"/>
        </w:rPr>
      </w:pPr>
      <w:r>
        <w:rPr>
          <w:rFonts w:hint="eastAsia" w:ascii="黑体" w:hAnsi="黑体" w:eastAsia="黑体" w:cs="黑体"/>
          <w:sz w:val="32"/>
          <w:szCs w:val="32"/>
        </w:rPr>
        <w:t>六、组织管理情况</w:t>
      </w:r>
    </w:p>
    <w:p w14:paraId="7059598F">
      <w:pPr>
        <w:keepNext w:val="0"/>
        <w:keepLines w:val="0"/>
        <w:pageBreakBefore w:val="0"/>
        <w:numPr>
          <w:ilvl w:val="0"/>
          <w:numId w:val="6"/>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双方联合管理体制机制运行情况</w:t>
      </w:r>
    </w:p>
    <w:p w14:paraId="26CD209B">
      <w:pPr>
        <w:keepNext w:val="0"/>
        <w:keepLines w:val="0"/>
        <w:pageBreakBefore w:val="0"/>
        <w:numPr>
          <w:ilvl w:val="0"/>
          <w:numId w:val="6"/>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制度建设管理情况</w:t>
      </w:r>
    </w:p>
    <w:p w14:paraId="1118D47D">
      <w:pPr>
        <w:keepNext w:val="0"/>
        <w:keepLines w:val="0"/>
        <w:pageBreakBefore w:val="0"/>
        <w:numPr>
          <w:ilvl w:val="0"/>
          <w:numId w:val="0"/>
        </w:numPr>
        <w:wordWrap/>
        <w:overflowPunct/>
        <w:topLinePunct w:val="0"/>
        <w:bidi w:val="0"/>
        <w:adjustRightInd w:val="0"/>
        <w:snapToGrid w:val="0"/>
        <w:spacing w:after="0" w:line="360" w:lineRule="auto"/>
        <w:ind w:leftChars="0" w:firstLine="640" w:firstLineChars="200"/>
        <w:rPr>
          <w:rFonts w:hint="default" w:ascii="仿宋_GB2312" w:hAnsi="仿宋_GB2312" w:eastAsia="仿宋_GB2312" w:cs="仿宋_GB2312"/>
          <w:snapToGrid w:val="0"/>
          <w:color w:val="FF0000"/>
          <w:kern w:val="0"/>
          <w:sz w:val="32"/>
          <w:szCs w:val="32"/>
          <w:lang w:val="en-US" w:eastAsia="zh-CN" w:bidi="ar-SA"/>
        </w:rPr>
      </w:pPr>
      <w:r>
        <w:rPr>
          <w:rFonts w:hint="eastAsia" w:ascii="仿宋_GB2312" w:hAnsi="仿宋_GB2312" w:eastAsia="仿宋_GB2312" w:cs="仿宋_GB2312"/>
          <w:snapToGrid w:val="0"/>
          <w:color w:val="FF0000"/>
          <w:kern w:val="0"/>
          <w:sz w:val="32"/>
          <w:szCs w:val="32"/>
          <w:lang w:val="en-US" w:eastAsia="zh-CN" w:bidi="ar-SA"/>
        </w:rPr>
        <w:t>用描述性语言，不要列提纲式。</w:t>
      </w:r>
    </w:p>
    <w:p w14:paraId="6FE44016">
      <w:pPr>
        <w:keepNext w:val="0"/>
        <w:keepLines w:val="0"/>
        <w:pageBreakBefore w:val="0"/>
        <w:numPr>
          <w:ilvl w:val="0"/>
          <w:numId w:val="6"/>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管理团队（服务）情况</w:t>
      </w:r>
    </w:p>
    <w:p w14:paraId="73FE428A">
      <w:pPr>
        <w:keepNext w:val="0"/>
        <w:keepLines w:val="0"/>
        <w:pageBreakBefore w:val="0"/>
        <w:numPr>
          <w:ilvl w:val="0"/>
          <w:numId w:val="6"/>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推动就业情况</w:t>
      </w:r>
    </w:p>
    <w:p w14:paraId="0F803031">
      <w:pPr>
        <w:keepNext w:val="0"/>
        <w:keepLines w:val="0"/>
        <w:pageBreakBefore w:val="0"/>
        <w:numPr>
          <w:ilvl w:val="0"/>
          <w:numId w:val="6"/>
        </w:numPr>
        <w:wordWrap/>
        <w:overflowPunct/>
        <w:topLinePunct w:val="0"/>
        <w:bidi w:val="0"/>
        <w:adjustRightInd w:val="0"/>
        <w:snapToGrid w:val="0"/>
        <w:spacing w:after="0" w:line="360" w:lineRule="auto"/>
        <w:ind w:leftChars="0" w:firstLine="643" w:firstLineChars="200"/>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薄弱环节及下步举措</w:t>
      </w:r>
    </w:p>
    <w:p w14:paraId="768C3205">
      <w:pPr>
        <w:keepNext w:val="0"/>
        <w:keepLines w:val="0"/>
        <w:pageBreakBefore w:val="0"/>
        <w:numPr>
          <w:ilvl w:val="0"/>
          <w:numId w:val="7"/>
        </w:numPr>
        <w:wordWrap/>
        <w:overflowPunct/>
        <w:topLinePunct w:val="0"/>
        <w:bidi w:val="0"/>
        <w:adjustRightInd w:val="0"/>
        <w:snapToGrid w:val="0"/>
        <w:spacing w:after="0" w:line="360" w:lineRule="auto"/>
        <w:ind w:leftChars="0"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依</w:t>
      </w:r>
      <w:bookmarkStart w:id="0" w:name="_GoBack"/>
      <w:bookmarkEnd w:id="0"/>
      <w:r>
        <w:rPr>
          <w:rFonts w:hint="eastAsia" w:ascii="黑体" w:hAnsi="黑体" w:eastAsia="黑体" w:cs="黑体"/>
          <w:sz w:val="32"/>
          <w:szCs w:val="32"/>
          <w:lang w:eastAsia="zh-CN"/>
        </w:rPr>
        <w:t>法办学及办学规范性情况</w:t>
      </w:r>
    </w:p>
    <w:p w14:paraId="631B8017">
      <w:pPr>
        <w:keepNext w:val="0"/>
        <w:keepLines w:val="0"/>
        <w:pageBreakBefore w:val="0"/>
        <w:numPr>
          <w:ilvl w:val="0"/>
          <w:numId w:val="0"/>
        </w:numPr>
        <w:wordWrap/>
        <w:overflowPunct/>
        <w:topLinePunct w:val="0"/>
        <w:bidi w:val="0"/>
        <w:adjustRightInd w:val="0"/>
        <w:snapToGrid w:val="0"/>
        <w:spacing w:after="0" w:line="360" w:lineRule="auto"/>
        <w:ind w:leftChars="0" w:firstLine="640" w:firstLineChars="200"/>
        <w:rPr>
          <w:rFonts w:hint="eastAsia" w:ascii="仿宋_GB2312" w:hAnsi="仿宋_GB2312" w:eastAsia="仿宋_GB2312" w:cs="仿宋_GB2312"/>
          <w:snapToGrid w:val="0"/>
          <w:color w:val="000000"/>
          <w:kern w:val="0"/>
          <w:sz w:val="32"/>
          <w:szCs w:val="32"/>
          <w:lang w:val="en-US" w:eastAsia="zh-CN" w:bidi="ar-SA"/>
        </w:rPr>
      </w:pPr>
      <w:r>
        <w:rPr>
          <w:rFonts w:hint="eastAsia" w:ascii="仿宋_GB2312" w:hAnsi="仿宋_GB2312" w:eastAsia="仿宋_GB2312" w:cs="仿宋_GB2312"/>
          <w:snapToGrid w:val="0"/>
          <w:color w:val="FF0000"/>
          <w:kern w:val="0"/>
          <w:sz w:val="32"/>
          <w:szCs w:val="32"/>
          <w:lang w:val="en-US" w:eastAsia="zh-CN" w:bidi="ar-SA"/>
        </w:rPr>
        <w:t>包括学校监管发现的主要问题及整改措施，明确写出是否超规模招生、擅自变更外方、擅自变更培养模式、中介参与招生录取及人才培养核心环节、违规使用境外教材等。</w:t>
      </w:r>
    </w:p>
    <w:p w14:paraId="00A418C7">
      <w:pPr>
        <w:keepNext w:val="0"/>
        <w:keepLines w:val="0"/>
        <w:pageBreakBefore w:val="0"/>
        <w:numPr>
          <w:ilvl w:val="0"/>
          <w:numId w:val="7"/>
        </w:numPr>
        <w:wordWrap/>
        <w:overflowPunct/>
        <w:topLinePunct w:val="0"/>
        <w:bidi w:val="0"/>
        <w:adjustRightInd w:val="0"/>
        <w:snapToGrid w:val="0"/>
        <w:spacing w:after="0" w:line="360" w:lineRule="auto"/>
        <w:ind w:left="0" w:leftChars="0" w:firstLine="640" w:firstLineChars="200"/>
        <w:rPr>
          <w:rFonts w:hint="eastAsia" w:ascii="黑体" w:hAnsi="黑体" w:eastAsia="黑体" w:cs="黑体"/>
          <w:sz w:val="32"/>
          <w:szCs w:val="32"/>
        </w:rPr>
      </w:pPr>
      <w:r>
        <w:rPr>
          <w:rFonts w:hint="eastAsia" w:ascii="黑体" w:hAnsi="黑体" w:eastAsia="黑体" w:cs="黑体"/>
          <w:sz w:val="32"/>
          <w:szCs w:val="32"/>
        </w:rPr>
        <w:t>合作办学辐射成果</w:t>
      </w:r>
    </w:p>
    <w:p w14:paraId="78F2DBA4">
      <w:pPr>
        <w:keepNext w:val="0"/>
        <w:keepLines w:val="0"/>
        <w:pageBreakBefore w:val="0"/>
        <w:numPr>
          <w:ilvl w:val="0"/>
          <w:numId w:val="0"/>
        </w:numPr>
        <w:wordWrap/>
        <w:overflowPunct/>
        <w:topLinePunct w:val="0"/>
        <w:bidi w:val="0"/>
        <w:adjustRightInd w:val="0"/>
        <w:snapToGrid w:val="0"/>
        <w:spacing w:after="0" w:line="360" w:lineRule="auto"/>
        <w:ind w:leftChars="0" w:firstLine="640" w:firstLineChars="200"/>
        <w:rPr>
          <w:rFonts w:hint="eastAsia" w:ascii="黑体" w:hAnsi="黑体" w:eastAsia="黑体" w:cs="黑体"/>
          <w:sz w:val="32"/>
          <w:szCs w:val="32"/>
        </w:rPr>
      </w:pPr>
      <w:r>
        <w:rPr>
          <w:rFonts w:hint="eastAsia" w:ascii="仿宋_GB2312" w:hAnsi="仿宋_GB2312" w:eastAsia="仿宋_GB2312" w:cs="仿宋_GB2312"/>
          <w:snapToGrid w:val="0"/>
          <w:color w:val="FF0000"/>
          <w:kern w:val="0"/>
          <w:sz w:val="32"/>
          <w:szCs w:val="32"/>
          <w:lang w:val="en-US" w:eastAsia="zh-CN" w:bidi="ar-SA"/>
        </w:rPr>
        <w:t>写出外方高校通过合作办学的牵引作用，对我国教育及双边人文交流方面做出的贡献。包括但不限于外方高校在其本土开展中文教育、汉学研究、传播中国文化、推动双边往来、推荐来华留学、引荐外国专家、促进校际交流、科研合作、举办活动等)</w:t>
      </w:r>
    </w:p>
    <w:p w14:paraId="5981D38C">
      <w:pPr>
        <w:keepNext w:val="0"/>
        <w:keepLines w:val="0"/>
        <w:pageBreakBefore w:val="0"/>
        <w:wordWrap/>
        <w:overflowPunct/>
        <w:topLinePunct w:val="0"/>
        <w:bidi w:val="0"/>
        <w:adjustRightInd w:val="0"/>
        <w:snapToGrid w:val="0"/>
        <w:spacing w:after="0" w:line="360" w:lineRule="auto"/>
        <w:ind w:leftChars="0" w:firstLine="640" w:firstLineChars="200"/>
        <w:rPr>
          <w:rFonts w:ascii="黑体" w:hAnsi="黑体" w:eastAsia="黑体" w:cs="黑体"/>
          <w:sz w:val="32"/>
          <w:szCs w:val="32"/>
        </w:rPr>
      </w:pPr>
      <w:r>
        <w:rPr>
          <w:rFonts w:hint="eastAsia" w:ascii="黑体" w:hAnsi="黑体" w:eastAsia="黑体" w:cs="黑体"/>
          <w:sz w:val="32"/>
          <w:szCs w:val="32"/>
        </w:rPr>
        <w:t>九、形势分析及应对措施</w:t>
      </w:r>
    </w:p>
    <w:p w14:paraId="22414691">
      <w:pPr>
        <w:keepNext w:val="0"/>
        <w:keepLines w:val="0"/>
        <w:pageBreakBefore w:val="0"/>
        <w:numPr>
          <w:ilvl w:val="0"/>
          <w:numId w:val="0"/>
        </w:numPr>
        <w:kinsoku w:val="0"/>
        <w:wordWrap/>
        <w:overflowPunct/>
        <w:topLinePunct w:val="0"/>
        <w:autoSpaceDE w:val="0"/>
        <w:autoSpaceDN w:val="0"/>
        <w:bidi w:val="0"/>
        <w:adjustRightInd w:val="0"/>
        <w:snapToGrid w:val="0"/>
        <w:spacing w:after="0" w:line="360" w:lineRule="auto"/>
        <w:ind w:leftChars="0"/>
        <w:jc w:val="left"/>
        <w:textAlignment w:val="baseline"/>
      </w:pPr>
      <w:r>
        <w:rPr>
          <w:rFonts w:hint="eastAsia" w:ascii="黑体" w:hAnsi="黑体" w:eastAsia="黑体" w:cs="黑体"/>
          <w:sz w:val="32"/>
          <w:szCs w:val="32"/>
          <w:lang w:val="en-US" w:eastAsia="zh-CN"/>
        </w:rPr>
        <w:t xml:space="preserve">  </w:t>
      </w:r>
      <w:r>
        <w:rPr>
          <w:rFonts w:hint="eastAsia" w:ascii="黑体" w:hAnsi="黑体" w:eastAsia="黑体" w:cs="黑体"/>
          <w:color w:val="FF0000"/>
          <w:sz w:val="32"/>
          <w:szCs w:val="32"/>
          <w:lang w:val="en-US" w:eastAsia="zh-CN"/>
        </w:rPr>
        <w:t xml:space="preserve">  </w:t>
      </w:r>
      <w:r>
        <w:rPr>
          <w:rFonts w:hint="eastAsia" w:ascii="仿宋_GB2312" w:hAnsi="仿宋_GB2312" w:eastAsia="仿宋_GB2312" w:cs="仿宋_GB2312"/>
          <w:snapToGrid w:val="0"/>
          <w:color w:val="FF0000"/>
          <w:kern w:val="0"/>
          <w:sz w:val="32"/>
          <w:szCs w:val="32"/>
          <w:lang w:val="en-US" w:eastAsia="zh-CN" w:bidi="ar-SA"/>
        </w:rPr>
        <w:t>如当前合作办学受到的内外部影响和潜在风险</w:t>
      </w:r>
    </w:p>
    <w:sectPr>
      <w:pgSz w:w="11906" w:h="16839"/>
      <w:pgMar w:top="1431" w:right="1785" w:bottom="1429" w:left="1785"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CFCAFDB-2532-46F2-80BF-33A936856A3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Kaiti SC">
    <w:altName w:val="宋体"/>
    <w:panose1 w:val="00000000000000000000"/>
    <w:charset w:val="86"/>
    <w:family w:val="auto"/>
    <w:pitch w:val="default"/>
    <w:sig w:usb0="00000000" w:usb1="00000000" w:usb2="00000016" w:usb3="00000000" w:csb0="0004001F" w:csb1="00000000"/>
  </w:font>
  <w:font w:name="FangSong_GB2312">
    <w:altName w:val="仿宋_GB2312"/>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2" w:fontKey="{714F8437-EFA5-4F3D-AF6C-6D965AE99900}"/>
  </w:font>
  <w:font w:name="方正小标宋简体">
    <w:panose1 w:val="02000000000000000000"/>
    <w:charset w:val="86"/>
    <w:family w:val="script"/>
    <w:pitch w:val="default"/>
    <w:sig w:usb0="00000001" w:usb1="080E0000" w:usb2="00000000" w:usb3="00000000" w:csb0="00040000" w:csb1="00000000"/>
    <w:embedRegular r:id="rId3" w:fontKey="{4813993A-26F1-4BCC-9827-CAB6994C78DD}"/>
  </w:font>
  <w:font w:name="楷体_GB2312">
    <w:panose1 w:val="02010609030101010101"/>
    <w:charset w:val="86"/>
    <w:family w:val="modern"/>
    <w:pitch w:val="default"/>
    <w:sig w:usb0="00000001" w:usb1="080E0000" w:usb2="00000000" w:usb3="00000000" w:csb0="00040000" w:csb1="00000000"/>
    <w:embedRegular r:id="rId4" w:fontKey="{822F7BD1-6007-4ED3-B9A2-34C806517AFD}"/>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E63B73"/>
    <w:multiLevelType w:val="singleLevel"/>
    <w:tmpl w:val="97E63B73"/>
    <w:lvl w:ilvl="0" w:tentative="0">
      <w:start w:val="1"/>
      <w:numFmt w:val="chineseCounting"/>
      <w:suff w:val="nothing"/>
      <w:lvlText w:val="（%1）"/>
      <w:lvlJc w:val="left"/>
      <w:rPr>
        <w:rFonts w:hint="eastAsia"/>
      </w:rPr>
    </w:lvl>
  </w:abstractNum>
  <w:abstractNum w:abstractNumId="1">
    <w:nsid w:val="B7719354"/>
    <w:multiLevelType w:val="singleLevel"/>
    <w:tmpl w:val="B7719354"/>
    <w:lvl w:ilvl="0" w:tentative="0">
      <w:start w:val="1"/>
      <w:numFmt w:val="chineseCounting"/>
      <w:suff w:val="nothing"/>
      <w:lvlText w:val="（%1）"/>
      <w:lvlJc w:val="left"/>
      <w:rPr>
        <w:rFonts w:hint="eastAsia"/>
      </w:rPr>
    </w:lvl>
  </w:abstractNum>
  <w:abstractNum w:abstractNumId="2">
    <w:nsid w:val="F5FC8248"/>
    <w:multiLevelType w:val="singleLevel"/>
    <w:tmpl w:val="F5FC8248"/>
    <w:lvl w:ilvl="0" w:tentative="0">
      <w:start w:val="1"/>
      <w:numFmt w:val="chineseCounting"/>
      <w:suff w:val="nothing"/>
      <w:lvlText w:val="（%1）"/>
      <w:lvlJc w:val="left"/>
      <w:rPr>
        <w:rFonts w:hint="eastAsia"/>
      </w:rPr>
    </w:lvl>
  </w:abstractNum>
  <w:abstractNum w:abstractNumId="3">
    <w:nsid w:val="0C98F0B0"/>
    <w:multiLevelType w:val="singleLevel"/>
    <w:tmpl w:val="0C98F0B0"/>
    <w:lvl w:ilvl="0" w:tentative="0">
      <w:start w:val="1"/>
      <w:numFmt w:val="chineseCounting"/>
      <w:suff w:val="nothing"/>
      <w:lvlText w:val="%1、"/>
      <w:lvlJc w:val="left"/>
      <w:pPr>
        <w:ind w:left="0" w:firstLine="420"/>
      </w:pPr>
      <w:rPr>
        <w:rFonts w:hint="eastAsia"/>
      </w:rPr>
    </w:lvl>
  </w:abstractNum>
  <w:abstractNum w:abstractNumId="4">
    <w:nsid w:val="0CB59466"/>
    <w:multiLevelType w:val="singleLevel"/>
    <w:tmpl w:val="0CB59466"/>
    <w:lvl w:ilvl="0" w:tentative="0">
      <w:start w:val="4"/>
      <w:numFmt w:val="chineseCounting"/>
      <w:suff w:val="nothing"/>
      <w:lvlText w:val="（%1）"/>
      <w:lvlJc w:val="left"/>
      <w:rPr>
        <w:rFonts w:hint="eastAsia"/>
      </w:rPr>
    </w:lvl>
  </w:abstractNum>
  <w:abstractNum w:abstractNumId="5">
    <w:nsid w:val="24A22E3A"/>
    <w:multiLevelType w:val="singleLevel"/>
    <w:tmpl w:val="24A22E3A"/>
    <w:lvl w:ilvl="0" w:tentative="0">
      <w:start w:val="7"/>
      <w:numFmt w:val="chineseCounting"/>
      <w:suff w:val="nothing"/>
      <w:lvlText w:val="%1、"/>
      <w:lvlJc w:val="left"/>
      <w:rPr>
        <w:rFonts w:hint="eastAsia"/>
      </w:rPr>
    </w:lvl>
  </w:abstractNum>
  <w:abstractNum w:abstractNumId="6">
    <w:nsid w:val="2998EF7E"/>
    <w:multiLevelType w:val="singleLevel"/>
    <w:tmpl w:val="2998EF7E"/>
    <w:lvl w:ilvl="0" w:tentative="0">
      <w:start w:val="1"/>
      <w:numFmt w:val="chineseCounting"/>
      <w:suff w:val="nothing"/>
      <w:lvlText w:val="（%1）"/>
      <w:lvlJc w:val="left"/>
      <w:rPr>
        <w:rFonts w:hint="eastAsia"/>
      </w:rPr>
    </w:lvl>
  </w:abstractNum>
  <w:num w:numId="1">
    <w:abstractNumId w:val="3"/>
  </w:num>
  <w:num w:numId="2">
    <w:abstractNumId w:val="0"/>
  </w:num>
  <w:num w:numId="3">
    <w:abstractNumId w:val="4"/>
  </w:num>
  <w:num w:numId="4">
    <w:abstractNumId w:val="2"/>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A61699"/>
    <w:rsid w:val="11E36A77"/>
    <w:rsid w:val="1A887542"/>
    <w:rsid w:val="33E162A4"/>
    <w:rsid w:val="3D454E81"/>
    <w:rsid w:val="4AB86F78"/>
    <w:rsid w:val="5D16507D"/>
    <w:rsid w:val="68B94F43"/>
    <w:rsid w:val="6DA627B7"/>
    <w:rsid w:val="77094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unhideWhenUsed/>
    <w:qFormat/>
    <w:uiPriority w:val="0"/>
    <w:pPr>
      <w:keepNext/>
      <w:keepLines/>
      <w:spacing w:before="260" w:after="260" w:line="413" w:lineRule="auto"/>
      <w:outlineLvl w:val="1"/>
    </w:pPr>
    <w:rPr>
      <w:rFonts w:eastAsia="Kaiti SC"/>
      <w:b/>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semiHidden/>
    <w:qFormat/>
    <w:uiPriority w:val="0"/>
    <w:rPr>
      <w:rFonts w:ascii="FangSong_GB2312" w:hAnsi="FangSong_GB2312" w:eastAsia="FangSong_GB2312" w:cs="FangSong_GB2312"/>
      <w:sz w:val="28"/>
      <w:szCs w:val="28"/>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1114</Words>
  <Characters>1132</Characters>
  <Lines>0</Lines>
  <Paragraphs>0</Paragraphs>
  <TotalTime>16</TotalTime>
  <ScaleCrop>false</ScaleCrop>
  <LinksUpToDate>false</LinksUpToDate>
  <CharactersWithSpaces>1140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2023-07-02T16:05:00Z</dcterms:created>
  <dc:creator>Econ</dc:creator>
  <cp:lastModifiedBy>Administrator</cp:lastModifiedBy>
  <dcterms:modified xsi:type="dcterms:W3CDTF">2026-09-07T08:39:57Z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C2BD18370CD849CCA4A7501AB81F80B7_13</vt:lpwstr>
  </property>
  <property fmtid="{D5CDD505-2E9C-101B-9397-08002B2CF9AE}" pid="4" name="KSOTemplateDocerSaveRecord">
    <vt:lpwstr>eyJoZGlkIjoiYjBiM2MwNmIxY2M4OWRjNTUzM2NkYjc0ZDg0ZGMyZDEiLCJ1c2VySWQiOiI1MzM4MjkyNTAifQ==</vt:lpwstr>
  </property>
</Properties>
</file>